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AC9FE">
      <w:pPr>
        <w:jc w:val="center"/>
      </w:pPr>
      <w:r>
        <w:rPr>
          <w:b/>
          <w:bCs/>
        </w:rPr>
        <w:t>OBRAZLOŽENJE FINANCIJSKOG PLANA ZA 2025. god.</w:t>
      </w:r>
    </w:p>
    <w:p w14:paraId="2EB9CE41">
      <w:pPr>
        <w:jc w:val="center"/>
        <w:rPr>
          <w:b/>
          <w:bCs/>
        </w:rPr>
      </w:pPr>
      <w:r>
        <w:rPr>
          <w:b/>
          <w:bCs/>
        </w:rPr>
        <w:t>PROGRAM PREDŠKOLSKOG ODGOJA I OBRAZOVANJA</w:t>
      </w:r>
    </w:p>
    <w:p w14:paraId="3F4DA315">
      <w:pPr>
        <w:jc w:val="center"/>
      </w:pPr>
    </w:p>
    <w:p w14:paraId="292A6E65">
      <w:pPr>
        <w:jc w:val="both"/>
      </w:pPr>
      <w:r>
        <w:rPr>
          <w:b/>
          <w:bCs/>
        </w:rPr>
        <w:t xml:space="preserve">1. SAŽETAK DJELOKRUGA RADA </w:t>
      </w:r>
    </w:p>
    <w:p w14:paraId="33ACAA30">
      <w:pPr>
        <w:ind w:firstLine="708"/>
        <w:jc w:val="both"/>
      </w:pPr>
      <w:r>
        <w:t xml:space="preserve">Dječji vrtić Palčić Tovarnik javna je ustanova koja u okviru svojih djelatnosti  predškolskog odgoja i obrazovanja ostvaruje programe odgoja, obrazovanja, zdravstvene zaštite, prehrane i socijalne skrbi djece rane i predškolske dobi na području Općine Tovarnik. Programe ostvaruje u skladu s humanističko – razvojnom koncepcijom, godišnjim planom i program te kurikulumom ustanove, kao i propisima koje je donijelo Ministarstvo znanosti i obrazovanja. Vrtić osigurava njegu i skrb te potiče cjelovit razvoj i integrirano učenje djece rane i predškolske dobi, razvoj dječjih kompetencija, poštivanje i uvažavanje individualnih različitosti, interesa, potreba i sposobnosti svakog pojedinca u bogatom i poticajnom okruženju. U vrtiću se kontinuirano radi na podizanju stručnih i osobnih kompetencija radnika te samoprocjeni i vrednovanju rada. Vrtić pruža podršku obitelji, razvoju roditeljskih kompetencija, razvoju društvene zajednice kao i same djelatnosti ranog i predškolskog odgoja i obrazovanja. </w:t>
      </w:r>
    </w:p>
    <w:p w14:paraId="038AE25F">
      <w:pPr>
        <w:ind w:firstLine="708"/>
        <w:jc w:val="both"/>
      </w:pPr>
      <w:r>
        <w:t xml:space="preserve">Osnivač i vlasnik ustanove je Općina Tovarnik. Dječjim vrtićem upravlja Upravno vijeće Vrtića. Ravnateljica je poslovodni i stručni voditelj Dječjeg vrtića. Rad vrtića se odvija na lokaciji Hrvatskih dragovoljaca 5, Tovarnik. Radno vrijeme vrtića je od 6.00 do 16.00 sati. Radno vrijeme se usklađuje i prilagođava potrebama zaposlenih roditelja. Potrebe roditelja se ispituju prilikom redovnih upisa te tijekom godine putem anketnih listića. Osim redovnog programa u vrtiću se provodi i program javnih potreba – „Predškole“ . </w:t>
      </w:r>
    </w:p>
    <w:p w14:paraId="021B0A84">
      <w:pPr>
        <w:jc w:val="both"/>
      </w:pPr>
      <w:r>
        <w:rPr>
          <w:b/>
          <w:bCs/>
        </w:rPr>
        <w:t xml:space="preserve">Svrha Programa </w:t>
      </w:r>
    </w:p>
    <w:p w14:paraId="6BECD101">
      <w:pPr>
        <w:ind w:firstLine="708"/>
        <w:jc w:val="both"/>
      </w:pPr>
      <w:r>
        <w:t xml:space="preserve">Svrha Programa predškolskog odgoja i obrazovanja je omogućiti svakom djetetu pravo na razvoj usklađen s njegovim individualnim mogućnostima i sposobnostima, osigurati i pripremiti preduvjete za razvijanje potencijala djece za budući život te pružiti sigurno i sretno djetinjstvo za vrijeme boravka djeteta u vrtićkoj sredini. Program predškolskog odgoja i obrazovanja osigurava uvjete za optimalan djetetov razvoj i pruža pomoć roditeljima u brizi za sigurnost i odgoj djeteta i na taj način dopunjava obiteljski odgoj. </w:t>
      </w:r>
    </w:p>
    <w:p w14:paraId="771B0148">
      <w:pPr>
        <w:jc w:val="both"/>
      </w:pPr>
      <w:r>
        <w:rPr>
          <w:b/>
          <w:bCs/>
        </w:rPr>
        <w:t xml:space="preserve">2. OBRAZLOŽENJE PROGRAMA </w:t>
      </w:r>
    </w:p>
    <w:p w14:paraId="2A9DE959">
      <w:pPr>
        <w:jc w:val="both"/>
      </w:pPr>
      <w:r>
        <w:rPr>
          <w:b/>
          <w:bCs/>
          <w:i/>
          <w:iCs/>
        </w:rPr>
        <w:t>2.1.Program redovitog predškolskog odgoja i obrazovanja</w:t>
      </w:r>
    </w:p>
    <w:p w14:paraId="070DBDB9">
      <w:pPr>
        <w:jc w:val="both"/>
      </w:pPr>
      <w:r>
        <w:rPr>
          <w:b/>
          <w:bCs/>
        </w:rPr>
        <w:t xml:space="preserve">Aktivnost: redoviti program vrtića i jaslica i program predškole </w:t>
      </w:r>
    </w:p>
    <w:p w14:paraId="725747BD">
      <w:pPr>
        <w:ind w:firstLine="708"/>
        <w:jc w:val="both"/>
      </w:pPr>
      <w:r>
        <w:t>Program redovitog predškolskog odgoja i obrazovanja odnosi se na redovnu djelatnost Vrtića i obuhvaća rashode za zaposlene te materijalne i financijske rashode za potrebe poslovanja djelatnosti sukladno standardima. Provodi se organizirano i namijenjen je djeci u dobi od jedne godine do polaska u školu. Program se provodi tijekom čitave godine u institucionalnoj sredini, u Dječjem vrtiću Palčić Tovarnik, sa stručnim i profesionalnim osobljem sukladno Zakonu o predškolskom odgoju i obrazovanju i Državnom pedagoškom standardu. U ostvarenju programa vrtić stvara primjerene uvjete za rast i razvoj svakog djeteta, omogućuje prilagodljivost konkretnim mogućnostima, potrebama i interesima djece i odraslih u ustanovi, kao i sredine u kojoj ustanova djeluje. Na taj način omogućuje se razvoj vrtića u smjeru kvalitetne zajednice koja uči. Program redovitog predškolskog odgoja i obrazovanja odvija se kroz tri oblika koji se razlikuju po duljini trajanja: 10 satni program, 5 satni program i program predškole. Djeca su podijeljene u tri odgojno-obrazovne skupine, 1 jasličku i 2 vrtićke i 1 skupinu kraćeg programa predškole.</w:t>
      </w:r>
    </w:p>
    <w:p w14:paraId="117EC7DD">
      <w:pPr>
        <w:jc w:val="both"/>
      </w:pPr>
      <w:r>
        <w:rPr>
          <w:b/>
          <w:bCs/>
        </w:rPr>
        <w:t xml:space="preserve">Tablica 1. </w:t>
      </w:r>
      <w:r>
        <w:t xml:space="preserve">Broj odgojitelja i djece po programima DV „Palčić Tovarnik“ za 2025. god.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1453"/>
        <w:gridCol w:w="2057"/>
        <w:gridCol w:w="2451"/>
      </w:tblGrid>
      <w:tr w14:paraId="154F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shd w:val="clear" w:color="auto" w:fill="A5A5A5" w:themeFill="background1" w:themeFillShade="A6"/>
            <w:vAlign w:val="center"/>
          </w:tcPr>
          <w:p w14:paraId="6B152C17">
            <w:pPr>
              <w:spacing w:after="0" w:line="240" w:lineRule="auto"/>
              <w:jc w:val="both"/>
            </w:pPr>
            <w:r>
              <w:t>Vrsta programa</w:t>
            </w:r>
          </w:p>
        </w:tc>
        <w:tc>
          <w:tcPr>
            <w:tcW w:w="1453" w:type="dxa"/>
            <w:shd w:val="clear" w:color="auto" w:fill="A5A5A5" w:themeFill="background1" w:themeFillShade="A6"/>
            <w:vAlign w:val="center"/>
          </w:tcPr>
          <w:p w14:paraId="26495F46">
            <w:pPr>
              <w:spacing w:after="0" w:line="240" w:lineRule="auto"/>
              <w:jc w:val="both"/>
            </w:pPr>
            <w:r>
              <w:t>Broj skupina</w:t>
            </w:r>
          </w:p>
        </w:tc>
        <w:tc>
          <w:tcPr>
            <w:tcW w:w="2057" w:type="dxa"/>
            <w:shd w:val="clear" w:color="auto" w:fill="A5A5A5" w:themeFill="background1" w:themeFillShade="A6"/>
            <w:vAlign w:val="center"/>
          </w:tcPr>
          <w:p w14:paraId="67D8D014">
            <w:pPr>
              <w:spacing w:after="0" w:line="240" w:lineRule="auto"/>
              <w:jc w:val="both"/>
            </w:pPr>
            <w:r>
              <w:t>Planirani broj djece</w:t>
            </w:r>
          </w:p>
        </w:tc>
        <w:tc>
          <w:tcPr>
            <w:tcW w:w="2451" w:type="dxa"/>
            <w:shd w:val="clear" w:color="auto" w:fill="A5A5A5" w:themeFill="background1" w:themeFillShade="A6"/>
            <w:vAlign w:val="center"/>
          </w:tcPr>
          <w:p w14:paraId="03B36C55">
            <w:pPr>
              <w:spacing w:after="0" w:line="240" w:lineRule="auto"/>
              <w:jc w:val="both"/>
            </w:pPr>
            <w:r>
              <w:t>Planirani broj odgojitelja</w:t>
            </w:r>
          </w:p>
        </w:tc>
      </w:tr>
      <w:tr w14:paraId="1941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6" w:type="dxa"/>
            <w:gridSpan w:val="4"/>
            <w:shd w:val="clear" w:color="auto" w:fill="D8D8D8" w:themeFill="background1" w:themeFillShade="D9"/>
            <w:vAlign w:val="center"/>
          </w:tcPr>
          <w:p w14:paraId="002B53FB">
            <w:pPr>
              <w:spacing w:after="0" w:line="240" w:lineRule="auto"/>
              <w:jc w:val="both"/>
            </w:pPr>
            <w:r>
              <w:t>Cjelodnevni 10-satini program</w:t>
            </w:r>
          </w:p>
        </w:tc>
      </w:tr>
      <w:tr w14:paraId="6CC4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vAlign w:val="center"/>
          </w:tcPr>
          <w:p w14:paraId="01392D52">
            <w:pPr>
              <w:spacing w:after="0" w:line="240" w:lineRule="auto"/>
              <w:jc w:val="center"/>
            </w:pPr>
            <w:r>
              <w:t>1- 3 god.</w:t>
            </w:r>
          </w:p>
        </w:tc>
        <w:tc>
          <w:tcPr>
            <w:tcW w:w="1453" w:type="dxa"/>
            <w:vAlign w:val="center"/>
          </w:tcPr>
          <w:p w14:paraId="098C4E15">
            <w:pPr>
              <w:spacing w:after="0" w:line="240" w:lineRule="auto"/>
              <w:jc w:val="center"/>
            </w:pPr>
            <w:r>
              <w:t>1</w:t>
            </w:r>
          </w:p>
        </w:tc>
        <w:tc>
          <w:tcPr>
            <w:tcW w:w="2057" w:type="dxa"/>
            <w:vAlign w:val="center"/>
          </w:tcPr>
          <w:p w14:paraId="669C3681">
            <w:pPr>
              <w:spacing w:after="0" w:line="240" w:lineRule="auto"/>
              <w:jc w:val="center"/>
            </w:pPr>
            <w:r>
              <w:t>12</w:t>
            </w:r>
          </w:p>
        </w:tc>
        <w:tc>
          <w:tcPr>
            <w:tcW w:w="2451" w:type="dxa"/>
            <w:vAlign w:val="center"/>
          </w:tcPr>
          <w:p w14:paraId="11E3D737">
            <w:pPr>
              <w:spacing w:after="0" w:line="240" w:lineRule="auto"/>
              <w:jc w:val="center"/>
            </w:pPr>
            <w:r>
              <w:t>2</w:t>
            </w:r>
          </w:p>
        </w:tc>
      </w:tr>
      <w:tr w14:paraId="66EC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vAlign w:val="center"/>
          </w:tcPr>
          <w:p w14:paraId="382FF567">
            <w:pPr>
              <w:spacing w:after="0" w:line="240" w:lineRule="auto"/>
              <w:jc w:val="center"/>
            </w:pPr>
            <w:r>
              <w:t>3 i 4. god.</w:t>
            </w:r>
          </w:p>
        </w:tc>
        <w:tc>
          <w:tcPr>
            <w:tcW w:w="1453" w:type="dxa"/>
            <w:vAlign w:val="center"/>
          </w:tcPr>
          <w:p w14:paraId="22E63115">
            <w:pPr>
              <w:spacing w:after="0" w:line="240" w:lineRule="auto"/>
              <w:jc w:val="center"/>
            </w:pPr>
            <w:r>
              <w:t>1</w:t>
            </w:r>
          </w:p>
        </w:tc>
        <w:tc>
          <w:tcPr>
            <w:tcW w:w="2057" w:type="dxa"/>
            <w:vAlign w:val="center"/>
          </w:tcPr>
          <w:p w14:paraId="73F5C319">
            <w:pPr>
              <w:spacing w:after="0" w:line="240" w:lineRule="auto"/>
              <w:jc w:val="center"/>
            </w:pPr>
            <w:r>
              <w:t>20</w:t>
            </w:r>
          </w:p>
        </w:tc>
        <w:tc>
          <w:tcPr>
            <w:tcW w:w="2451" w:type="dxa"/>
            <w:vAlign w:val="center"/>
          </w:tcPr>
          <w:p w14:paraId="364A996F">
            <w:pPr>
              <w:spacing w:after="0" w:line="240" w:lineRule="auto"/>
              <w:jc w:val="center"/>
            </w:pPr>
            <w:r>
              <w:t>2</w:t>
            </w:r>
          </w:p>
        </w:tc>
      </w:tr>
      <w:tr w14:paraId="4CF7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vAlign w:val="center"/>
          </w:tcPr>
          <w:p w14:paraId="2C5FB078">
            <w:pPr>
              <w:spacing w:after="0" w:line="240" w:lineRule="auto"/>
              <w:jc w:val="center"/>
            </w:pPr>
            <w:r>
              <w:t>4 - 7 god.</w:t>
            </w:r>
          </w:p>
        </w:tc>
        <w:tc>
          <w:tcPr>
            <w:tcW w:w="1453" w:type="dxa"/>
            <w:vAlign w:val="center"/>
          </w:tcPr>
          <w:p w14:paraId="6E01C56E">
            <w:pPr>
              <w:spacing w:after="0" w:line="240" w:lineRule="auto"/>
              <w:jc w:val="center"/>
            </w:pPr>
            <w:r>
              <w:t>1</w:t>
            </w:r>
          </w:p>
        </w:tc>
        <w:tc>
          <w:tcPr>
            <w:tcW w:w="2057" w:type="dxa"/>
            <w:vAlign w:val="center"/>
          </w:tcPr>
          <w:p w14:paraId="550004FF">
            <w:pPr>
              <w:spacing w:after="0" w:line="240" w:lineRule="auto"/>
              <w:jc w:val="center"/>
            </w:pPr>
            <w:r>
              <w:t>27</w:t>
            </w:r>
          </w:p>
        </w:tc>
        <w:tc>
          <w:tcPr>
            <w:tcW w:w="2451" w:type="dxa"/>
            <w:vAlign w:val="center"/>
          </w:tcPr>
          <w:p w14:paraId="7CCC842C">
            <w:pPr>
              <w:spacing w:after="0" w:line="240" w:lineRule="auto"/>
              <w:jc w:val="center"/>
            </w:pPr>
            <w:r>
              <w:t>2</w:t>
            </w:r>
          </w:p>
        </w:tc>
      </w:tr>
      <w:tr w14:paraId="33BF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6" w:type="dxa"/>
            <w:gridSpan w:val="4"/>
            <w:shd w:val="clear" w:color="auto" w:fill="D8D8D8" w:themeFill="background1" w:themeFillShade="D9"/>
            <w:vAlign w:val="center"/>
          </w:tcPr>
          <w:p w14:paraId="01E7C6BC">
            <w:pPr>
              <w:spacing w:after="0" w:line="240" w:lineRule="auto"/>
              <w:jc w:val="both"/>
            </w:pPr>
            <w:r>
              <w:t>Poludnevni 5-satni program</w:t>
            </w:r>
          </w:p>
        </w:tc>
      </w:tr>
      <w:tr w14:paraId="7030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vAlign w:val="center"/>
          </w:tcPr>
          <w:p w14:paraId="5F268389">
            <w:pPr>
              <w:spacing w:after="0" w:line="240" w:lineRule="auto"/>
              <w:jc w:val="center"/>
            </w:pPr>
            <w:r>
              <w:t>3 do polaska u školu</w:t>
            </w:r>
          </w:p>
        </w:tc>
        <w:tc>
          <w:tcPr>
            <w:tcW w:w="1453" w:type="dxa"/>
            <w:vAlign w:val="center"/>
          </w:tcPr>
          <w:p w14:paraId="63910545">
            <w:pPr>
              <w:spacing w:after="0" w:line="240" w:lineRule="auto"/>
              <w:jc w:val="center"/>
            </w:pPr>
            <w:r>
              <w:t>-</w:t>
            </w:r>
          </w:p>
        </w:tc>
        <w:tc>
          <w:tcPr>
            <w:tcW w:w="2057" w:type="dxa"/>
            <w:vAlign w:val="center"/>
          </w:tcPr>
          <w:p w14:paraId="4D84147D">
            <w:pPr>
              <w:spacing w:after="0" w:line="240" w:lineRule="auto"/>
              <w:jc w:val="center"/>
            </w:pPr>
            <w:r>
              <w:t>1</w:t>
            </w:r>
          </w:p>
        </w:tc>
        <w:tc>
          <w:tcPr>
            <w:tcW w:w="2451" w:type="dxa"/>
            <w:vAlign w:val="center"/>
          </w:tcPr>
          <w:p w14:paraId="5F12D2E1">
            <w:pPr>
              <w:spacing w:after="0" w:line="240" w:lineRule="auto"/>
              <w:jc w:val="center"/>
            </w:pPr>
            <w:r>
              <w:t>-</w:t>
            </w:r>
          </w:p>
        </w:tc>
      </w:tr>
      <w:tr w14:paraId="458A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vAlign w:val="center"/>
          </w:tcPr>
          <w:p w14:paraId="1F64376B">
            <w:pPr>
              <w:spacing w:after="0" w:line="240" w:lineRule="auto"/>
              <w:jc w:val="center"/>
            </w:pPr>
            <w:r>
              <w:t>Kraći program predškole</w:t>
            </w:r>
          </w:p>
        </w:tc>
        <w:tc>
          <w:tcPr>
            <w:tcW w:w="1453" w:type="dxa"/>
            <w:vAlign w:val="center"/>
          </w:tcPr>
          <w:p w14:paraId="62AED89D">
            <w:pPr>
              <w:spacing w:after="0" w:line="240" w:lineRule="auto"/>
              <w:jc w:val="center"/>
            </w:pPr>
            <w:r>
              <w:t>1</w:t>
            </w:r>
          </w:p>
        </w:tc>
        <w:tc>
          <w:tcPr>
            <w:tcW w:w="2057" w:type="dxa"/>
            <w:vAlign w:val="center"/>
          </w:tcPr>
          <w:p w14:paraId="68B8E995">
            <w:pPr>
              <w:spacing w:after="0" w:line="240" w:lineRule="auto"/>
              <w:jc w:val="center"/>
            </w:pPr>
            <w:r>
              <w:t>6</w:t>
            </w:r>
          </w:p>
        </w:tc>
        <w:tc>
          <w:tcPr>
            <w:tcW w:w="2451" w:type="dxa"/>
            <w:vAlign w:val="center"/>
          </w:tcPr>
          <w:p w14:paraId="18E5DE36">
            <w:pPr>
              <w:spacing w:after="0" w:line="240" w:lineRule="auto"/>
              <w:jc w:val="center"/>
            </w:pPr>
            <w:r>
              <w:t>1</w:t>
            </w:r>
          </w:p>
        </w:tc>
      </w:tr>
      <w:tr w14:paraId="0B3B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5" w:type="dxa"/>
            <w:vAlign w:val="center"/>
          </w:tcPr>
          <w:p w14:paraId="6B525531">
            <w:pPr>
              <w:spacing w:after="0" w:line="240" w:lineRule="auto"/>
              <w:jc w:val="center"/>
              <w:rPr>
                <w:b/>
                <w:bCs/>
              </w:rPr>
            </w:pPr>
            <w:r>
              <w:rPr>
                <w:b/>
                <w:bCs/>
              </w:rPr>
              <w:t>UKUPNO</w:t>
            </w:r>
          </w:p>
        </w:tc>
        <w:tc>
          <w:tcPr>
            <w:tcW w:w="1453" w:type="dxa"/>
            <w:vAlign w:val="center"/>
          </w:tcPr>
          <w:p w14:paraId="509B18DC">
            <w:pPr>
              <w:spacing w:after="0" w:line="240" w:lineRule="auto"/>
              <w:jc w:val="center"/>
              <w:rPr>
                <w:b/>
                <w:bCs/>
              </w:rPr>
            </w:pPr>
            <w:r>
              <w:rPr>
                <w:b/>
                <w:bCs/>
              </w:rPr>
              <w:t>4</w:t>
            </w:r>
          </w:p>
        </w:tc>
        <w:tc>
          <w:tcPr>
            <w:tcW w:w="2057" w:type="dxa"/>
            <w:vAlign w:val="center"/>
          </w:tcPr>
          <w:p w14:paraId="691584AA">
            <w:pPr>
              <w:spacing w:after="0" w:line="240" w:lineRule="auto"/>
              <w:jc w:val="center"/>
              <w:rPr>
                <w:b/>
                <w:bCs/>
              </w:rPr>
            </w:pPr>
            <w:r>
              <w:rPr>
                <w:b/>
                <w:bCs/>
              </w:rPr>
              <w:t>66</w:t>
            </w:r>
          </w:p>
        </w:tc>
        <w:tc>
          <w:tcPr>
            <w:tcW w:w="2451" w:type="dxa"/>
            <w:vAlign w:val="center"/>
          </w:tcPr>
          <w:p w14:paraId="798F584D">
            <w:pPr>
              <w:spacing w:after="0" w:line="240" w:lineRule="auto"/>
              <w:jc w:val="center"/>
              <w:rPr>
                <w:b/>
                <w:bCs/>
              </w:rPr>
            </w:pPr>
            <w:r>
              <w:rPr>
                <w:b/>
                <w:bCs/>
              </w:rPr>
              <w:t>7</w:t>
            </w:r>
          </w:p>
        </w:tc>
      </w:tr>
    </w:tbl>
    <w:p w14:paraId="1C19ED38">
      <w:pPr>
        <w:jc w:val="both"/>
      </w:pPr>
    </w:p>
    <w:p w14:paraId="12CB7F5E">
      <w:pPr>
        <w:jc w:val="both"/>
      </w:pPr>
      <w:r>
        <w:t xml:space="preserve">Vrtić zapošljava radnike sukladno Zakonu o predškolskom odgoju i obrazovanju. </w:t>
      </w:r>
    </w:p>
    <w:p w14:paraId="23E1EA74">
      <w:pPr>
        <w:jc w:val="both"/>
      </w:pPr>
      <w:r>
        <w:rPr>
          <w:b/>
          <w:bCs/>
        </w:rPr>
        <w:t xml:space="preserve">Tablica 2. </w:t>
      </w:r>
      <w:r>
        <w:t xml:space="preserve">Planirani broj radnika DV „Palčić Tovarnik“ za 2025. godinu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808"/>
        <w:gridCol w:w="900"/>
        <w:gridCol w:w="1350"/>
        <w:gridCol w:w="1710"/>
        <w:gridCol w:w="2631"/>
      </w:tblGrid>
      <w:tr w14:paraId="0EB3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shd w:val="clear" w:color="auto" w:fill="A5A5A5" w:themeFill="background1" w:themeFillShade="A6"/>
            <w:vAlign w:val="center"/>
          </w:tcPr>
          <w:p w14:paraId="5CBC6D6D">
            <w:pPr>
              <w:spacing w:after="0" w:line="240" w:lineRule="auto"/>
              <w:jc w:val="both"/>
            </w:pPr>
            <w:r>
              <w:t>Red. br.</w:t>
            </w:r>
          </w:p>
        </w:tc>
        <w:tc>
          <w:tcPr>
            <w:tcW w:w="1808" w:type="dxa"/>
            <w:shd w:val="clear" w:color="auto" w:fill="A5A5A5" w:themeFill="background1" w:themeFillShade="A6"/>
            <w:vAlign w:val="center"/>
          </w:tcPr>
          <w:p w14:paraId="43BEC8E3">
            <w:pPr>
              <w:spacing w:after="0" w:line="240" w:lineRule="auto"/>
              <w:jc w:val="both"/>
            </w:pPr>
            <w:r>
              <w:t>Radno mjesto</w:t>
            </w:r>
          </w:p>
        </w:tc>
        <w:tc>
          <w:tcPr>
            <w:tcW w:w="900" w:type="dxa"/>
            <w:shd w:val="clear" w:color="auto" w:fill="A5A5A5" w:themeFill="background1" w:themeFillShade="A6"/>
            <w:vAlign w:val="center"/>
          </w:tcPr>
          <w:p w14:paraId="092D8196">
            <w:pPr>
              <w:spacing w:after="0" w:line="240" w:lineRule="auto"/>
              <w:jc w:val="both"/>
            </w:pPr>
            <w:r>
              <w:t>Broj radnika</w:t>
            </w:r>
          </w:p>
        </w:tc>
        <w:tc>
          <w:tcPr>
            <w:tcW w:w="1350" w:type="dxa"/>
            <w:shd w:val="clear" w:color="auto" w:fill="A5A5A5" w:themeFill="background1" w:themeFillShade="A6"/>
            <w:vAlign w:val="center"/>
          </w:tcPr>
          <w:p w14:paraId="31D11828">
            <w:pPr>
              <w:spacing w:after="0" w:line="240" w:lineRule="auto"/>
              <w:jc w:val="both"/>
            </w:pPr>
            <w:r>
              <w:t>Neodređeno puno radno vrijeme</w:t>
            </w:r>
          </w:p>
        </w:tc>
        <w:tc>
          <w:tcPr>
            <w:tcW w:w="1710" w:type="dxa"/>
            <w:shd w:val="clear" w:color="auto" w:fill="A5A5A5" w:themeFill="background1" w:themeFillShade="A6"/>
            <w:vAlign w:val="center"/>
          </w:tcPr>
          <w:p w14:paraId="3D988701">
            <w:pPr>
              <w:spacing w:after="0" w:line="240" w:lineRule="auto"/>
              <w:jc w:val="both"/>
            </w:pPr>
            <w:r>
              <w:t>Određeno puno radno vrijeme</w:t>
            </w:r>
          </w:p>
        </w:tc>
        <w:tc>
          <w:tcPr>
            <w:tcW w:w="2631" w:type="dxa"/>
            <w:shd w:val="clear" w:color="auto" w:fill="A5A5A5" w:themeFill="background1" w:themeFillShade="A6"/>
            <w:vAlign w:val="center"/>
          </w:tcPr>
          <w:p w14:paraId="1F800E5A">
            <w:pPr>
              <w:spacing w:after="0" w:line="240" w:lineRule="auto"/>
              <w:jc w:val="both"/>
            </w:pPr>
            <w:r>
              <w:t>Određeno nepuno radno vrijeme (20 sati tjedno)</w:t>
            </w:r>
          </w:p>
        </w:tc>
      </w:tr>
      <w:tr w14:paraId="7757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0FC1C1D">
            <w:pPr>
              <w:spacing w:after="0" w:line="240" w:lineRule="auto"/>
              <w:jc w:val="center"/>
            </w:pPr>
            <w:r>
              <w:t>1.</w:t>
            </w:r>
          </w:p>
        </w:tc>
        <w:tc>
          <w:tcPr>
            <w:tcW w:w="1808" w:type="dxa"/>
            <w:vAlign w:val="center"/>
          </w:tcPr>
          <w:p w14:paraId="32CF3C22">
            <w:pPr>
              <w:spacing w:after="0" w:line="240" w:lineRule="auto"/>
              <w:jc w:val="center"/>
            </w:pPr>
            <w:r>
              <w:t>Ravnatelj</w:t>
            </w:r>
          </w:p>
        </w:tc>
        <w:tc>
          <w:tcPr>
            <w:tcW w:w="900" w:type="dxa"/>
            <w:vAlign w:val="center"/>
          </w:tcPr>
          <w:p w14:paraId="5342B5A6">
            <w:pPr>
              <w:spacing w:after="0" w:line="240" w:lineRule="auto"/>
              <w:jc w:val="center"/>
            </w:pPr>
            <w:r>
              <w:t>1</w:t>
            </w:r>
          </w:p>
        </w:tc>
        <w:tc>
          <w:tcPr>
            <w:tcW w:w="1350" w:type="dxa"/>
            <w:vAlign w:val="center"/>
          </w:tcPr>
          <w:p w14:paraId="413F7E37">
            <w:pPr>
              <w:spacing w:after="0" w:line="240" w:lineRule="auto"/>
              <w:jc w:val="center"/>
            </w:pPr>
            <w:r>
              <w:t>-</w:t>
            </w:r>
          </w:p>
        </w:tc>
        <w:tc>
          <w:tcPr>
            <w:tcW w:w="1710" w:type="dxa"/>
            <w:vAlign w:val="center"/>
          </w:tcPr>
          <w:p w14:paraId="3BD9E6D0">
            <w:pPr>
              <w:spacing w:after="0" w:line="240" w:lineRule="auto"/>
              <w:jc w:val="center"/>
            </w:pPr>
            <w:r>
              <w:t>1 -mandatno</w:t>
            </w:r>
          </w:p>
        </w:tc>
        <w:tc>
          <w:tcPr>
            <w:tcW w:w="2631" w:type="dxa"/>
            <w:vAlign w:val="center"/>
          </w:tcPr>
          <w:p w14:paraId="31788371">
            <w:pPr>
              <w:spacing w:after="0" w:line="240" w:lineRule="auto"/>
              <w:jc w:val="center"/>
            </w:pPr>
            <w:r>
              <w:t>-</w:t>
            </w:r>
          </w:p>
        </w:tc>
      </w:tr>
      <w:tr w14:paraId="4063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6E963908">
            <w:pPr>
              <w:spacing w:after="0" w:line="240" w:lineRule="auto"/>
              <w:jc w:val="center"/>
            </w:pPr>
            <w:r>
              <w:t>2.</w:t>
            </w:r>
          </w:p>
        </w:tc>
        <w:tc>
          <w:tcPr>
            <w:tcW w:w="1808" w:type="dxa"/>
            <w:vAlign w:val="center"/>
          </w:tcPr>
          <w:p w14:paraId="1416D96D">
            <w:pPr>
              <w:spacing w:after="0" w:line="240" w:lineRule="auto"/>
              <w:jc w:val="center"/>
            </w:pPr>
            <w:r>
              <w:t>Odgojitelj</w:t>
            </w:r>
          </w:p>
        </w:tc>
        <w:tc>
          <w:tcPr>
            <w:tcW w:w="900" w:type="dxa"/>
            <w:vAlign w:val="center"/>
          </w:tcPr>
          <w:p w14:paraId="4B9FE544">
            <w:pPr>
              <w:spacing w:after="0" w:line="240" w:lineRule="auto"/>
              <w:jc w:val="center"/>
            </w:pPr>
            <w:r>
              <w:t>10</w:t>
            </w:r>
          </w:p>
        </w:tc>
        <w:tc>
          <w:tcPr>
            <w:tcW w:w="1350" w:type="dxa"/>
            <w:vAlign w:val="center"/>
          </w:tcPr>
          <w:p w14:paraId="502B4429">
            <w:pPr>
              <w:spacing w:after="0" w:line="240" w:lineRule="auto"/>
              <w:jc w:val="center"/>
            </w:pPr>
            <w:r>
              <w:t>6</w:t>
            </w:r>
          </w:p>
        </w:tc>
        <w:tc>
          <w:tcPr>
            <w:tcW w:w="1710" w:type="dxa"/>
            <w:vAlign w:val="center"/>
          </w:tcPr>
          <w:p w14:paraId="26E2A64C">
            <w:pPr>
              <w:spacing w:after="0" w:line="240" w:lineRule="auto"/>
              <w:jc w:val="center"/>
            </w:pPr>
            <w:r>
              <w:t>4</w:t>
            </w:r>
          </w:p>
        </w:tc>
        <w:tc>
          <w:tcPr>
            <w:tcW w:w="2631" w:type="dxa"/>
            <w:vAlign w:val="center"/>
          </w:tcPr>
          <w:p w14:paraId="60127D6F">
            <w:pPr>
              <w:spacing w:after="0" w:line="240" w:lineRule="auto"/>
              <w:jc w:val="center"/>
            </w:pPr>
            <w:r>
              <w:t>-</w:t>
            </w:r>
          </w:p>
        </w:tc>
      </w:tr>
      <w:tr w14:paraId="1B7C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31B5979D">
            <w:pPr>
              <w:spacing w:after="0" w:line="240" w:lineRule="auto"/>
              <w:jc w:val="center"/>
            </w:pPr>
            <w:r>
              <w:t>3.</w:t>
            </w:r>
          </w:p>
        </w:tc>
        <w:tc>
          <w:tcPr>
            <w:tcW w:w="1808" w:type="dxa"/>
            <w:vAlign w:val="center"/>
          </w:tcPr>
          <w:p w14:paraId="1E8636EE">
            <w:pPr>
              <w:spacing w:after="0" w:line="240" w:lineRule="auto"/>
              <w:jc w:val="center"/>
            </w:pPr>
            <w:r>
              <w:t>Asistent</w:t>
            </w:r>
          </w:p>
        </w:tc>
        <w:tc>
          <w:tcPr>
            <w:tcW w:w="900" w:type="dxa"/>
            <w:vAlign w:val="center"/>
          </w:tcPr>
          <w:p w14:paraId="1DF61A96">
            <w:pPr>
              <w:spacing w:after="0" w:line="240" w:lineRule="auto"/>
              <w:jc w:val="center"/>
            </w:pPr>
            <w:r>
              <w:t>1</w:t>
            </w:r>
          </w:p>
        </w:tc>
        <w:tc>
          <w:tcPr>
            <w:tcW w:w="1350" w:type="dxa"/>
            <w:vAlign w:val="center"/>
          </w:tcPr>
          <w:p w14:paraId="0566A2F8">
            <w:pPr>
              <w:spacing w:after="0" w:line="240" w:lineRule="auto"/>
              <w:jc w:val="center"/>
            </w:pPr>
            <w:r>
              <w:t>-</w:t>
            </w:r>
          </w:p>
        </w:tc>
        <w:tc>
          <w:tcPr>
            <w:tcW w:w="1710" w:type="dxa"/>
            <w:vAlign w:val="center"/>
          </w:tcPr>
          <w:p w14:paraId="4D86B998">
            <w:pPr>
              <w:spacing w:after="0" w:line="240" w:lineRule="auto"/>
              <w:jc w:val="center"/>
            </w:pPr>
            <w:r>
              <w:t>-</w:t>
            </w:r>
          </w:p>
        </w:tc>
        <w:tc>
          <w:tcPr>
            <w:tcW w:w="2631" w:type="dxa"/>
            <w:vAlign w:val="center"/>
          </w:tcPr>
          <w:p w14:paraId="448ACA38">
            <w:pPr>
              <w:spacing w:after="0" w:line="240" w:lineRule="auto"/>
              <w:jc w:val="center"/>
            </w:pPr>
            <w:r>
              <w:t>1</w:t>
            </w:r>
          </w:p>
        </w:tc>
      </w:tr>
      <w:tr w14:paraId="60D9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79B56EE">
            <w:pPr>
              <w:spacing w:after="0" w:line="240" w:lineRule="auto"/>
              <w:jc w:val="center"/>
            </w:pPr>
            <w:r>
              <w:t>4.</w:t>
            </w:r>
          </w:p>
        </w:tc>
        <w:tc>
          <w:tcPr>
            <w:tcW w:w="1808" w:type="dxa"/>
            <w:vAlign w:val="center"/>
          </w:tcPr>
          <w:p w14:paraId="3D62A1DB">
            <w:pPr>
              <w:spacing w:after="0" w:line="240" w:lineRule="auto"/>
              <w:jc w:val="center"/>
            </w:pPr>
            <w:r>
              <w:t>Pomoćni radnik</w:t>
            </w:r>
          </w:p>
        </w:tc>
        <w:tc>
          <w:tcPr>
            <w:tcW w:w="900" w:type="dxa"/>
            <w:vAlign w:val="center"/>
          </w:tcPr>
          <w:p w14:paraId="0BE82DA5">
            <w:pPr>
              <w:spacing w:after="0" w:line="240" w:lineRule="auto"/>
              <w:jc w:val="center"/>
            </w:pPr>
            <w:r>
              <w:t>1</w:t>
            </w:r>
          </w:p>
        </w:tc>
        <w:tc>
          <w:tcPr>
            <w:tcW w:w="1350" w:type="dxa"/>
            <w:vAlign w:val="center"/>
          </w:tcPr>
          <w:p w14:paraId="652BD9AC">
            <w:pPr>
              <w:spacing w:after="0" w:line="240" w:lineRule="auto"/>
              <w:jc w:val="center"/>
            </w:pPr>
            <w:r>
              <w:t>-</w:t>
            </w:r>
          </w:p>
        </w:tc>
        <w:tc>
          <w:tcPr>
            <w:tcW w:w="1710" w:type="dxa"/>
            <w:vAlign w:val="center"/>
          </w:tcPr>
          <w:p w14:paraId="5E4A874E">
            <w:pPr>
              <w:spacing w:after="0" w:line="240" w:lineRule="auto"/>
              <w:jc w:val="center"/>
            </w:pPr>
            <w:r>
              <w:t>-</w:t>
            </w:r>
          </w:p>
        </w:tc>
        <w:tc>
          <w:tcPr>
            <w:tcW w:w="2631" w:type="dxa"/>
            <w:vAlign w:val="center"/>
          </w:tcPr>
          <w:p w14:paraId="6C35A3C9">
            <w:pPr>
              <w:spacing w:after="0" w:line="240" w:lineRule="auto"/>
              <w:jc w:val="center"/>
            </w:pPr>
            <w:r>
              <w:t>1</w:t>
            </w:r>
          </w:p>
        </w:tc>
      </w:tr>
      <w:tr w14:paraId="67A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083E8EF7">
            <w:pPr>
              <w:spacing w:after="0" w:line="240" w:lineRule="auto"/>
              <w:jc w:val="center"/>
            </w:pPr>
            <w:r>
              <w:t>5.</w:t>
            </w:r>
          </w:p>
        </w:tc>
        <w:tc>
          <w:tcPr>
            <w:tcW w:w="1808" w:type="dxa"/>
            <w:vAlign w:val="center"/>
          </w:tcPr>
          <w:p w14:paraId="62FF44E3">
            <w:pPr>
              <w:spacing w:after="0" w:line="240" w:lineRule="auto"/>
              <w:jc w:val="center"/>
            </w:pPr>
            <w:r>
              <w:t>Spremačica</w:t>
            </w:r>
          </w:p>
        </w:tc>
        <w:tc>
          <w:tcPr>
            <w:tcW w:w="900" w:type="dxa"/>
            <w:vAlign w:val="center"/>
          </w:tcPr>
          <w:p w14:paraId="7602AA47">
            <w:pPr>
              <w:spacing w:after="0" w:line="240" w:lineRule="auto"/>
              <w:jc w:val="center"/>
            </w:pPr>
            <w:r>
              <w:t>2</w:t>
            </w:r>
          </w:p>
        </w:tc>
        <w:tc>
          <w:tcPr>
            <w:tcW w:w="1350" w:type="dxa"/>
            <w:vAlign w:val="center"/>
          </w:tcPr>
          <w:p w14:paraId="5F4B629F">
            <w:pPr>
              <w:spacing w:after="0" w:line="240" w:lineRule="auto"/>
              <w:jc w:val="center"/>
            </w:pPr>
            <w:r>
              <w:t>2</w:t>
            </w:r>
          </w:p>
        </w:tc>
        <w:tc>
          <w:tcPr>
            <w:tcW w:w="1710" w:type="dxa"/>
            <w:vAlign w:val="center"/>
          </w:tcPr>
          <w:p w14:paraId="6A135F47">
            <w:pPr>
              <w:spacing w:after="0" w:line="240" w:lineRule="auto"/>
              <w:jc w:val="center"/>
            </w:pPr>
            <w:r>
              <w:t>-</w:t>
            </w:r>
          </w:p>
        </w:tc>
        <w:tc>
          <w:tcPr>
            <w:tcW w:w="2631" w:type="dxa"/>
            <w:vAlign w:val="center"/>
          </w:tcPr>
          <w:p w14:paraId="043B07C1">
            <w:pPr>
              <w:spacing w:after="0" w:line="240" w:lineRule="auto"/>
              <w:jc w:val="center"/>
            </w:pPr>
            <w:r>
              <w:t>-</w:t>
            </w:r>
          </w:p>
        </w:tc>
      </w:tr>
      <w:tr w14:paraId="609D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5C904332">
            <w:pPr>
              <w:spacing w:after="0" w:line="240" w:lineRule="auto"/>
              <w:jc w:val="center"/>
            </w:pPr>
            <w:r>
              <w:t>6.</w:t>
            </w:r>
          </w:p>
        </w:tc>
        <w:tc>
          <w:tcPr>
            <w:tcW w:w="1808" w:type="dxa"/>
            <w:vAlign w:val="center"/>
          </w:tcPr>
          <w:p w14:paraId="256EB06E">
            <w:pPr>
              <w:spacing w:after="0" w:line="240" w:lineRule="auto"/>
              <w:jc w:val="center"/>
            </w:pPr>
            <w:r>
              <w:t>Pedagog</w:t>
            </w:r>
          </w:p>
        </w:tc>
        <w:tc>
          <w:tcPr>
            <w:tcW w:w="6591" w:type="dxa"/>
            <w:gridSpan w:val="4"/>
            <w:vAlign w:val="center"/>
          </w:tcPr>
          <w:p w14:paraId="2EAA9187">
            <w:pPr>
              <w:spacing w:after="0" w:line="240" w:lineRule="auto"/>
              <w:jc w:val="center"/>
            </w:pPr>
            <w:r>
              <w:t>Ugovor o djelu (vanjski suradnik)</w:t>
            </w:r>
          </w:p>
        </w:tc>
      </w:tr>
      <w:tr w14:paraId="4B03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gridSpan w:val="2"/>
            <w:vAlign w:val="center"/>
          </w:tcPr>
          <w:p w14:paraId="704EEC1E">
            <w:pPr>
              <w:spacing w:after="0" w:line="240" w:lineRule="auto"/>
              <w:jc w:val="center"/>
              <w:rPr>
                <w:b/>
                <w:bCs/>
              </w:rPr>
            </w:pPr>
            <w:r>
              <w:rPr>
                <w:b/>
                <w:bCs/>
              </w:rPr>
              <w:t>UKUPNO</w:t>
            </w:r>
          </w:p>
        </w:tc>
        <w:tc>
          <w:tcPr>
            <w:tcW w:w="900" w:type="dxa"/>
            <w:vAlign w:val="center"/>
          </w:tcPr>
          <w:p w14:paraId="1EC52646">
            <w:pPr>
              <w:spacing w:after="0" w:line="240" w:lineRule="auto"/>
              <w:jc w:val="center"/>
              <w:rPr>
                <w:b/>
                <w:bCs/>
              </w:rPr>
            </w:pPr>
            <w:r>
              <w:rPr>
                <w:b/>
                <w:bCs/>
              </w:rPr>
              <w:t>15</w:t>
            </w:r>
          </w:p>
        </w:tc>
        <w:tc>
          <w:tcPr>
            <w:tcW w:w="1350" w:type="dxa"/>
            <w:vAlign w:val="center"/>
          </w:tcPr>
          <w:p w14:paraId="0C5A0A26">
            <w:pPr>
              <w:spacing w:after="0" w:line="240" w:lineRule="auto"/>
              <w:jc w:val="center"/>
              <w:rPr>
                <w:b/>
                <w:bCs/>
              </w:rPr>
            </w:pPr>
            <w:r>
              <w:rPr>
                <w:b/>
                <w:bCs/>
              </w:rPr>
              <w:t>8</w:t>
            </w:r>
          </w:p>
        </w:tc>
        <w:tc>
          <w:tcPr>
            <w:tcW w:w="1710" w:type="dxa"/>
            <w:vAlign w:val="center"/>
          </w:tcPr>
          <w:p w14:paraId="7544088D">
            <w:pPr>
              <w:spacing w:after="0" w:line="240" w:lineRule="auto"/>
              <w:jc w:val="center"/>
              <w:rPr>
                <w:b/>
                <w:bCs/>
              </w:rPr>
            </w:pPr>
            <w:r>
              <w:rPr>
                <w:b/>
                <w:bCs/>
              </w:rPr>
              <w:t>5</w:t>
            </w:r>
          </w:p>
        </w:tc>
        <w:tc>
          <w:tcPr>
            <w:tcW w:w="2631" w:type="dxa"/>
            <w:vAlign w:val="center"/>
          </w:tcPr>
          <w:p w14:paraId="4E0904A1">
            <w:pPr>
              <w:spacing w:after="0" w:line="240" w:lineRule="auto"/>
              <w:jc w:val="center"/>
              <w:rPr>
                <w:b/>
                <w:bCs/>
              </w:rPr>
            </w:pPr>
            <w:r>
              <w:rPr>
                <w:b/>
                <w:bCs/>
              </w:rPr>
              <w:t>2</w:t>
            </w:r>
          </w:p>
        </w:tc>
      </w:tr>
    </w:tbl>
    <w:p w14:paraId="6557D2B4">
      <w:pPr>
        <w:jc w:val="both"/>
      </w:pPr>
    </w:p>
    <w:p w14:paraId="271A105B">
      <w:pPr>
        <w:jc w:val="both"/>
      </w:pPr>
      <w:r>
        <w:t xml:space="preserve">U </w:t>
      </w:r>
      <w:r>
        <w:rPr>
          <w:b/>
          <w:bCs/>
        </w:rPr>
        <w:t xml:space="preserve">redovitim programima </w:t>
      </w:r>
      <w:r>
        <w:t xml:space="preserve">omogućava se uspješno zadovoljavanje potreba pojedinaca, poštivanje njihovih prava i razvoj potencijala osobnim tempom. Također se osiguravaju uvjeti nužni za primjereno odgovaranje na aktualne potrebe roditelja, partnera u odgojno-obrazovnom procesu. Provođenje programa usmjereno je prema osiguranju dobrobiti za dijete što je kontinuirani i razvojni proces kojim se integrira zdravo i uspješno individualno funkcioniranje te pozitivni socijalni odnosi u kvalitetnom okruženju. Ekonomska cijena vrtića za 2025. godinu iznosi 248,19 eur po djetetu, izvori financiranja su od strane Općine Tovarnik, godišnji plan za 2025. iznosi 252 815,00 eur, te roditelji sufinanciraju u planiranom iznosu od 23.500,00 eur. </w:t>
      </w:r>
    </w:p>
    <w:p w14:paraId="2C950219">
      <w:pPr>
        <w:jc w:val="both"/>
      </w:pPr>
      <w:r>
        <w:t xml:space="preserve">Program predškole je obvezni program odgojno-obrazovnog rada s djecom u godini dana prije polaska u osnovnu školu i dio je sustava odgoja i obrazovanja u RH. Osnovna zadaća programa predškole je razvijanje i unapređivanje emocionalnih, spoznajnih, tjelesnih i socijalnih potencijala djeteta te poticanje komunikacijskih vještina potrebnih za nove oblike učenja. Sadržaj, programske zadaće i organizacija provedbe programa predškole omogućava zadovoljavanje svih djetetovih potreba i interesa koji će mu pomoći u prilagodbi na nove uvjete života, rasta i razvoja u školskom okruženju. </w:t>
      </w:r>
    </w:p>
    <w:p w14:paraId="000E2FBB">
      <w:pPr>
        <w:jc w:val="both"/>
      </w:pPr>
      <w:r>
        <w:t>Sukladno Pravilniku o sadržaju i trajanju programa predškole (NN 107/14) za djecu koja nisu obuhvaćena redovnim programima vrtića program predškole provodi se u trajanju od 250 sati. Program predškole je besplatan (čl. 48. Zakona o predškolskom odgoju i obrazovanju). Kako je program predškole za djecu koja nisu obuhvaćena redovnim programom besplatan za roditelje, vrtić će provesti organizaciju predškole sukladno zakonu, vodeći računa o smanjenju troškova organizacije programa. Program predškole – jednim dijelom sufinancirat će MZOO 648,00 eur.</w:t>
      </w:r>
    </w:p>
    <w:p w14:paraId="69DB7E80">
      <w:pPr>
        <w:jc w:val="both"/>
      </w:pPr>
      <w:r>
        <w:t xml:space="preserve">Rashodi za zaposlene planirani su u skladu s brojem zaposlenih i koeficijentima radnih mjesta. Materijalni i financijski troškovi planirani su na osnovu realnih troškova i realizacije proračuna za 2024. godinu. </w:t>
      </w:r>
    </w:p>
    <w:p w14:paraId="0BCDFF89">
      <w:pPr>
        <w:jc w:val="both"/>
      </w:pPr>
      <w:r>
        <w:t xml:space="preserve">Za izvršenje plana i programa rada, vrtiću u 2025. godini potrebno je 276.978,00 eura. Izračuni i ocjene potrebnih sredstava za provođenje plana i programa rada zasnivaju se na materijalnim uvjetima iz usvojenog Godišnjeg plana i programa rada za ped.god. 2024./2025., financijskim podacima iz 2023. godine i realiziranim rashodima i prihodima za prvih 8 mjeseci 2024. godine. </w:t>
      </w:r>
    </w:p>
    <w:p w14:paraId="7FC9261B">
      <w:pPr>
        <w:jc w:val="both"/>
      </w:pPr>
      <w:r>
        <w:t xml:space="preserve">Financijsko-računovodstvene poslove za Dječji vrtić osigurava knjigovodstveno računovodstveni servis „ID“ iz Tovarnika. Raspodjela sredstava po namjenama vidljiva je u predloženom prijedlogu Financijskog plana. Sukladno članku 36. Zakona o proračunu obrazloženje posebnog dijela financijskog plana proračunskog korisnika sastoji se od obrazloženja programa koje se daje kroz obrazloženje aktivnosti i projekata zajedno s ciljevima i pokazateljima uspješnosti iz akata strateškog planiranja i godišnjeg plana rada. Uz niz koristi koji može donijeti upotreba pokazatelja uspješnosti u procesu planiranja, jedna od najznačajnijih je poboljšano upravljanje odnosno gospodarenje resursima. </w:t>
      </w:r>
    </w:p>
    <w:p w14:paraId="7E8CBD79">
      <w:pPr>
        <w:jc w:val="both"/>
      </w:pPr>
      <w:r>
        <w:t xml:space="preserve">Sukladno navedenom, vrtić je ponovno odredio pokazatelje uspješnosti i ciljeve za razdoblje 2024. – 2026. godine. Osnovni ciljevi programa su: </w:t>
      </w:r>
    </w:p>
    <w:p w14:paraId="5A750148">
      <w:pPr>
        <w:jc w:val="both"/>
      </w:pPr>
      <w:r>
        <w:rPr/>
        <w:sym w:font="Symbol" w:char="F0B7"/>
      </w:r>
      <w:r>
        <w:t xml:space="preserve"> osiguranje prostornih, materijalnih, kadrovskih i financijskih uvjeta za obavljanje redovne djelatnosti Vrtića </w:t>
      </w:r>
    </w:p>
    <w:p w14:paraId="1AAA52EA">
      <w:pPr>
        <w:jc w:val="both"/>
      </w:pPr>
      <w:r>
        <w:rPr/>
        <w:sym w:font="Symbol" w:char="F0B7"/>
      </w:r>
      <w:r>
        <w:t xml:space="preserve"> omogućiti svoj djeci uključivanje u neki od oblika institucionalnog odgoja i obrazovanja i jednake šanse za nastavak obrazovanja </w:t>
      </w:r>
    </w:p>
    <w:p w14:paraId="736AC7F3">
      <w:pPr>
        <w:jc w:val="both"/>
      </w:pPr>
      <w:r>
        <w:rPr/>
        <w:sym w:font="Symbol" w:char="F0B7"/>
      </w:r>
      <w:r>
        <w:t xml:space="preserve"> kontinuirano podizanje kvalitete odgojno-obrazovne prakse, praćenje i implementacija suvremenih znanstvenih spoznaja i oblika učenja djece </w:t>
      </w:r>
    </w:p>
    <w:p w14:paraId="6285BB9F">
      <w:pPr>
        <w:jc w:val="both"/>
      </w:pPr>
      <w:r>
        <w:rPr/>
        <w:sym w:font="Symbol" w:char="F0B7"/>
      </w:r>
      <w:r>
        <w:t xml:space="preserve"> osiguranje sredstava za materijalne i financijske rashode poslovanja </w:t>
      </w:r>
    </w:p>
    <w:p w14:paraId="5721E355">
      <w:pPr>
        <w:jc w:val="both"/>
      </w:pPr>
      <w:r>
        <w:rPr/>
        <w:sym w:font="Symbol" w:char="F0B7"/>
      </w:r>
      <w:r>
        <w:t xml:space="preserve"> potpuno usklađivanje s Državnim pedagoškim standardom u svrhu podizanja kvalitete ranog i predškolskog odgoja i obrazovanja na području Općine Tovarnik </w:t>
      </w:r>
    </w:p>
    <w:p w14:paraId="0DAAF986">
      <w:pPr>
        <w:jc w:val="both"/>
      </w:pPr>
      <w:r>
        <w:rPr>
          <w:b/>
          <w:bCs/>
        </w:rPr>
        <w:t xml:space="preserve">POKAZATELJI USPJEŠNOSTI </w:t>
      </w:r>
    </w:p>
    <w:p w14:paraId="10C2AEB9">
      <w:pPr>
        <w:jc w:val="both"/>
      </w:pPr>
      <w:r>
        <w:rPr/>
        <w:sym w:font="Symbol" w:char="F0B7"/>
      </w:r>
      <w:r>
        <w:t xml:space="preserve"> usklađenost sa Državnim pedagoškim standardom (mjerila za broj djece u skupinama; mjerila za broj odgojitelja, stručnih suradnika i ostalih radnika; mjere zdravstvene zaštite i prehrane djece; mjerila za financiranje programa; materijalni i financijski uvjeti rada: prostorni i tehnički uvjeti, higijensko-tehnički zahtjevi za prostore; osnovna oprema, didaktička sredstva i druga pomagala potrebna za provedbu redovitih i posebnih programa) </w:t>
      </w:r>
    </w:p>
    <w:p w14:paraId="4FE2BE2E">
      <w:pPr>
        <w:jc w:val="both"/>
      </w:pPr>
      <w:r>
        <w:rPr/>
        <w:sym w:font="Symbol" w:char="F0B7"/>
      </w:r>
      <w:r>
        <w:t xml:space="preserve"> stvaranje socijalnog, materijalnog i vremenskog konteksta koji potiče dijete na istraživanje, stvaranje, zaključivanje, samostalnost; primjena suvremenih metoda učenja koji jamče razvoj svih sposobnosti svakoga djeteta i osiguravaju jednake mogućnosti svoj djeci </w:t>
      </w:r>
    </w:p>
    <w:p w14:paraId="48A6C167">
      <w:pPr>
        <w:jc w:val="both"/>
      </w:pPr>
      <w:r>
        <w:rPr/>
        <w:sym w:font="Symbol" w:char="F0B7"/>
      </w:r>
      <w:r>
        <w:t xml:space="preserve"> podizanje razine kompetencija djece i stručnih djelatnika vrtića </w:t>
      </w:r>
    </w:p>
    <w:p w14:paraId="1FEEDA0A">
      <w:pPr>
        <w:jc w:val="both"/>
      </w:pPr>
      <w:r>
        <w:rPr/>
        <w:sym w:font="Symbol" w:char="F0B7"/>
      </w:r>
      <w:r>
        <w:t xml:space="preserve"> ostvarenje zadaća Kurikuluma i Godišnjeg plana i programa rada Vrtića</w:t>
      </w:r>
    </w:p>
    <w:p w14:paraId="40566C54">
      <w:pPr>
        <w:jc w:val="both"/>
      </w:pPr>
      <w:r>
        <w:rPr/>
        <w:sym w:font="Symbol" w:char="F0B7"/>
      </w:r>
      <w:r>
        <w:t xml:space="preserve"> otvorenost za suradnju i umrežavanje </w:t>
      </w:r>
    </w:p>
    <w:p w14:paraId="4E86992C">
      <w:pPr>
        <w:jc w:val="both"/>
      </w:pPr>
      <w:r>
        <w:rPr/>
        <w:sym w:font="Symbol" w:char="F0B7"/>
      </w:r>
      <w:r>
        <w:t xml:space="preserve"> podrška roditeljstvu </w:t>
      </w:r>
    </w:p>
    <w:p w14:paraId="40FD1DE3">
      <w:pPr>
        <w:ind w:firstLine="708"/>
        <w:jc w:val="both"/>
      </w:pPr>
      <w:r>
        <w:t xml:space="preserve">Bogato i poticajno okruženje Vrtića utječe na podizanje razine kompetencija djece što rezultira većim zadovoljstvom roditelja te pruža bolju osnovu i jednake šanse svoj djeci za nastavak obrazovanja. Podizanjem razine kompetencija djelatnika rezultira boljim razumijevanjem djece, uspješnijem planiranju odgojno-obrazovnog procesa i unapređenjem vlastite odgojno - obrazovne prakse te prakse Vrtića. </w:t>
      </w:r>
    </w:p>
    <w:p w14:paraId="497075FD">
      <w:pPr>
        <w:jc w:val="both"/>
      </w:pPr>
      <w:r>
        <w:t xml:space="preserve">Mogući rizici: </w:t>
      </w:r>
    </w:p>
    <w:p w14:paraId="7A6B53A8">
      <w:pPr>
        <w:jc w:val="both"/>
      </w:pPr>
      <w:r>
        <w:rPr/>
        <w:sym w:font="Symbol" w:char="F0B7"/>
      </w:r>
      <w:r>
        <w:t xml:space="preserve"> pojava novih zahtjeva za koja nisu osigurana sredstva </w:t>
      </w:r>
    </w:p>
    <w:p w14:paraId="027551B1">
      <w:pPr>
        <w:jc w:val="both"/>
      </w:pPr>
      <w:r>
        <w:rPr/>
        <w:sym w:font="Symbol" w:char="F0B7"/>
      </w:r>
      <w:r>
        <w:t xml:space="preserve"> povećanje cijena na tržištu </w:t>
      </w:r>
    </w:p>
    <w:p w14:paraId="69CB97F0">
      <w:pPr>
        <w:jc w:val="both"/>
      </w:pPr>
      <w:r>
        <w:rPr/>
        <w:sym w:font="Symbol" w:char="F0B7"/>
      </w:r>
      <w:r>
        <w:t xml:space="preserve"> smanjenje broja djece i prihoda </w:t>
      </w:r>
    </w:p>
    <w:p w14:paraId="1AB9AFAC">
      <w:pPr>
        <w:jc w:val="both"/>
      </w:pPr>
      <w:r>
        <w:rPr/>
        <w:sym w:font="Symbol" w:char="F0B7"/>
      </w:r>
      <w:r>
        <w:t xml:space="preserve"> promjene zakonskih odredbi </w:t>
      </w:r>
      <w:bookmarkStart w:id="0" w:name="_GoBack"/>
      <w:bookmarkEnd w:id="0"/>
    </w:p>
    <w:p w14:paraId="41E465A3">
      <w:pPr>
        <w:jc w:val="both"/>
      </w:pPr>
      <w:r>
        <w:rPr>
          <w:b/>
          <w:bCs/>
        </w:rPr>
        <w:t xml:space="preserve">2.2. Program dodatnog predškolskog odgoja i obrazovanja </w:t>
      </w:r>
    </w:p>
    <w:p w14:paraId="6721A21A">
      <w:pPr>
        <w:ind w:firstLine="708"/>
        <w:jc w:val="both"/>
      </w:pPr>
      <w:r>
        <w:t xml:space="preserve">Cilj programa dodatnog predškolskog odgoja i obrazovanja je omogućiti djeci u vremenu koje provode u institucionalnoj sredini usvajanje novih znanja i vještina, te kroz aktivnosti koje sadrže široku raznolikost izbora za djecu razvijati sretno i zadovoljno dijete. </w:t>
      </w:r>
    </w:p>
    <w:p w14:paraId="1FDD6D21">
      <w:pPr>
        <w:ind w:firstLine="708"/>
        <w:jc w:val="both"/>
      </w:pPr>
      <w:r>
        <w:t xml:space="preserve">Kroz povremene i tematski organizirane aktivnosti djeca i djelatnici uključena su u učenje, rad, druženja i zabavu, te se na taj način kod njih potiče kreativnost, timski rad, socijalizacija, briga za zdravlje i ljubav prema različitim područjima života i izražavanja te doprinos društvenoj zajednici. U ovom podprogramu provode se tradicionalne, ali i osmišljavaju nove aktivnosti za uključivanje djece, njihovih roditelja i djelatnika vrtića u učenje, rad, zabavu, putovanja, kulturna i umjetnička događanja na užem i širem području djelovanja vrtića. U ovoj godini planiraju se slijedeće aktivnosti: Božić i Nova godina; Njegovanje tradicija kraja; Ekologija u vrtiću; posjete i 1 cjelodnevni izlet. Kako bi se osigurala optimalna kvaliteta rada i življenja u Vrtiću potrebno je konstantno ulaganje u ljude ali i u didaktičku i ostalu opremu, namještaj, nabavu novih strojeva. </w:t>
      </w:r>
    </w:p>
    <w:p w14:paraId="602E0ED7">
      <w:pPr>
        <w:jc w:val="both"/>
      </w:pPr>
      <w:r>
        <w:rPr>
          <w:b/>
          <w:bCs/>
        </w:rPr>
        <w:t xml:space="preserve">3. ZAKONSKE I DRUGE PRAVNE OSNOVE NA KOJIMA SE ZASNIVAJU PROGRAMI </w:t>
      </w:r>
    </w:p>
    <w:p w14:paraId="61FC3EF2">
      <w:pPr>
        <w:jc w:val="both"/>
      </w:pPr>
      <w:r>
        <w:rPr/>
        <w:sym w:font="Symbol" w:char="F0B7"/>
      </w:r>
      <w:r>
        <w:t xml:space="preserve"> Zakon o predškolskom odgoju i obrazovanju (NN 10/97, 107/07 i 94/13) </w:t>
      </w:r>
    </w:p>
    <w:p w14:paraId="2507B8E3">
      <w:pPr>
        <w:jc w:val="both"/>
      </w:pPr>
      <w:r>
        <w:rPr/>
        <w:sym w:font="Symbol" w:char="F0B7"/>
      </w:r>
      <w:r>
        <w:t xml:space="preserve"> Državni pedagoški standard predškolskog odgoja i naobrazbe (NN 63/08 i 90/10) </w:t>
      </w:r>
    </w:p>
    <w:p w14:paraId="344C9051">
      <w:pPr>
        <w:jc w:val="both"/>
      </w:pPr>
      <w:r>
        <w:rPr/>
        <w:sym w:font="Symbol" w:char="F0B7"/>
      </w:r>
      <w:r>
        <w:t xml:space="preserve"> Pravilnik o sadržaju i trajanju programa predškole (NN 107/14) </w:t>
      </w:r>
    </w:p>
    <w:p w14:paraId="2D658F8D">
      <w:pPr>
        <w:jc w:val="both"/>
      </w:pPr>
      <w:r>
        <w:rPr/>
        <w:sym w:font="Symbol" w:char="F0B7"/>
      </w:r>
      <w:r>
        <w:t xml:space="preserve"> Pravilnik o vrsti stručne spreme stručnih djelatnika te vrsti i stupnju stručne spreme ostalih djelatnika u dječjem vrtiću (NN 133/97) </w:t>
      </w:r>
    </w:p>
    <w:p w14:paraId="5089BE0A">
      <w:pPr>
        <w:jc w:val="both"/>
      </w:pPr>
      <w:r>
        <w:rPr/>
        <w:sym w:font="Symbol" w:char="F0B7"/>
      </w:r>
      <w:r>
        <w:t xml:space="preserve"> Pravilnik o načinu i uvjetima napredovanja u struci i promicanju u položajna zvanja odgojitelja i stručnih suradnika u dječjim vrtićima (NN 133/97) </w:t>
      </w:r>
    </w:p>
    <w:p w14:paraId="3E7647F5">
      <w:pPr>
        <w:jc w:val="both"/>
      </w:pPr>
      <w:r>
        <w:rPr/>
        <w:sym w:font="Symbol" w:char="F0B7"/>
      </w:r>
      <w:r>
        <w:t xml:space="preserve"> Pravilnik o načinu i uvjetima polaganja stručnog ispita odgojitelja i stručnih suradnika u dječjem vrtiću (NN 133/97) </w:t>
      </w:r>
    </w:p>
    <w:p w14:paraId="5AB36A87">
      <w:pPr>
        <w:jc w:val="both"/>
      </w:pPr>
      <w:r>
        <w:rPr/>
        <w:sym w:font="Symbol" w:char="F0B7"/>
      </w:r>
      <w:r>
        <w:t xml:space="preserve"> Nacionalni Kurikulum za rani i predškolski odgoj i obrazovanje (2014.) </w:t>
      </w:r>
    </w:p>
    <w:p w14:paraId="2387340A">
      <w:pPr>
        <w:jc w:val="both"/>
      </w:pPr>
      <w:r>
        <w:rPr/>
        <w:sym w:font="Symbol" w:char="F0B7"/>
      </w:r>
      <w:r>
        <w:t xml:space="preserve"> Pravilnik o načinu raspolaganja sredstvima državnog proračuna i mjerilima sufinanciranja programa predškolskog odgoja i obrazovanja (NN 134/97) </w:t>
      </w:r>
    </w:p>
    <w:p w14:paraId="10DB165E">
      <w:pPr>
        <w:jc w:val="both"/>
      </w:pPr>
      <w:r>
        <w:rPr/>
        <w:sym w:font="Symbol" w:char="F0B7"/>
      </w:r>
      <w:r>
        <w:t xml:space="preserve"> Program zdravstvene zaštite djece, higijene i pravilne prehrane djece u dječjim vrtićima (NN 105/02) </w:t>
      </w:r>
    </w:p>
    <w:p w14:paraId="55119E9D">
      <w:pPr>
        <w:jc w:val="both"/>
      </w:pPr>
      <w:r>
        <w:rPr/>
        <w:sym w:font="Symbol" w:char="F0B7"/>
      </w:r>
      <w:r>
        <w:t xml:space="preserve"> Izmjene i dopune Programa zdravstvene zaštite djece, higijene i pravilne prehrane djece u dječjim vrtićima (NN 121/07) </w:t>
      </w:r>
    </w:p>
    <w:p w14:paraId="1FFEC30E">
      <w:pPr>
        <w:jc w:val="both"/>
      </w:pPr>
      <w:r>
        <w:rPr/>
        <w:sym w:font="Symbol" w:char="F0B7"/>
      </w:r>
      <w:r>
        <w:t xml:space="preserve"> Zakon o hrani (NN 81/13) </w:t>
      </w:r>
    </w:p>
    <w:p w14:paraId="0B8DB7A5">
      <w:pPr>
        <w:jc w:val="both"/>
      </w:pPr>
      <w:r>
        <w:rPr/>
        <w:sym w:font="Symbol" w:char="F0B7"/>
      </w:r>
      <w:r>
        <w:t xml:space="preserve"> Zakon o higijeni hrane i mikrobiološkim kriterijima za hranu (NN 81/13) </w:t>
      </w:r>
    </w:p>
    <w:p w14:paraId="43F223A2">
      <w:pPr>
        <w:jc w:val="both"/>
      </w:pPr>
      <w:r>
        <w:rPr>
          <w:b/>
          <w:bCs/>
        </w:rPr>
        <w:t xml:space="preserve">4. USKLAĐENOST PROGRAMA S DOKUMENTIMA DUGOROČNOG RAZVOJA </w:t>
      </w:r>
    </w:p>
    <w:p w14:paraId="6E710F9C">
      <w:pPr>
        <w:ind w:firstLine="708"/>
        <w:jc w:val="both"/>
      </w:pPr>
      <w:r>
        <w:t xml:space="preserve">Strategijom razvoja Vrtića i Općine Tovarnik predviđeno je daljnje ulaganje u razvoj kvalitete ranog i predškolskog odgoja. Ulažu se sredstva u poboljšanje prostornih i ukupnih materijalnih i financijskih uvjeta za razvoj ranog i predškolskog odgoja i obrazovanja. Time se usklađujemo s opredjeljenjima Republike Hrvatske koja su uokvirena Državnim pedagoškim standardom, Nacionalnim Kurikulumom za rani i predškolski odgoj i obrazovanje te Strategijom razvoja obrazovanja, znanosti i tehnologije RH. </w:t>
      </w:r>
    </w:p>
    <w:p w14:paraId="0270B3CF">
      <w:pPr>
        <w:jc w:val="both"/>
      </w:pPr>
      <w:r>
        <w:rPr>
          <w:b/>
          <w:bCs/>
        </w:rPr>
        <w:t xml:space="preserve">5. IZVORI FINANCIRANJA </w:t>
      </w:r>
    </w:p>
    <w:p w14:paraId="1438C916">
      <w:pPr>
        <w:ind w:firstLine="708"/>
        <w:jc w:val="both"/>
      </w:pPr>
      <w:r>
        <w:t xml:space="preserve">Osnovni program predškolskog odgoja i obrazovanja obuhvaća rashode za zaposlene, materijalne i financijske rashode poslovanja, koji se financiraju iz proračuna Općine Tovarnik i učešćem roditelja. </w:t>
      </w:r>
    </w:p>
    <w:p w14:paraId="17C2933A">
      <w:pPr>
        <w:jc w:val="both"/>
      </w:pPr>
      <w:r>
        <w:rPr>
          <w:b/>
          <w:bCs/>
        </w:rPr>
        <w:t xml:space="preserve">6. IZVJEŠTAJ O POSTIGNUTIM CILJEVIMA I REZULTATIMA PROGRAMA U PRETHODNOJ GODINI </w:t>
      </w:r>
    </w:p>
    <w:p w14:paraId="00D72EF5">
      <w:pPr>
        <w:ind w:firstLine="708"/>
        <w:jc w:val="both"/>
      </w:pPr>
      <w:r>
        <w:t>U prethodnoj godini postignuto je stabilno funkcioniranje ustanove. U zgradu su uložena znatna financijska sredstva. Obnovljen je pod na ulazu Vrtića, izgrađene 2 invalidske rampe. Izgrađeno je vrtićko dvorište sa antistres podlogom, postavljena su igrala prilagođena vrtićkom uzrastu i postavljen novi pješčanik.</w:t>
      </w:r>
    </w:p>
    <w:p w14:paraId="2B501649">
      <w:pPr>
        <w:ind w:firstLine="708"/>
        <w:jc w:val="both"/>
      </w:pPr>
      <w:r>
        <w:t xml:space="preserve">Program ranog i predškolskog odgoja i obrazovanja u našoj ustanovi je na zadovoljavajućoj razini, no težimo stalnom poboljšavanju i razvoju, kako materijalnih uvjeta za rad, tako i ustroja ustanove, sve radi postizanja visoke kvalitete institucionaliziranog odgoja i obrazovanja djece u ranoj i predškolskoj dobi, čime postižemo zadovoljstvo roditelja i afirmaciju Vrtića u stručnoj kao i lokalnoj zajednici. </w:t>
      </w:r>
    </w:p>
    <w:p w14:paraId="02DAF123">
      <w:pPr>
        <w:ind w:firstLine="708"/>
        <w:jc w:val="both"/>
      </w:pPr>
      <w:r>
        <w:t xml:space="preserve">Predlaže se Upravnom vijeću da usvoji predloženi Financijski plan za 2025. godinu s projekcijama za 2026. i 2027. godinu, a Općinskom vijeću se dostavlja na daljnje postupanje. </w:t>
      </w:r>
    </w:p>
    <w:p w14:paraId="4E771B26">
      <w:pPr>
        <w:jc w:val="both"/>
      </w:pPr>
    </w:p>
    <w:p w14:paraId="24618809">
      <w:r>
        <w:t xml:space="preserve">Tovarnik, </w:t>
      </w:r>
      <w:r>
        <w:rPr>
          <w:rFonts w:hint="default"/>
          <w:lang w:val="hr-HR"/>
        </w:rPr>
        <w:t>15</w:t>
      </w:r>
      <w:r>
        <w:t xml:space="preserve">.11.2024. god. </w:t>
      </w:r>
    </w:p>
    <w:p w14:paraId="4CAC7D37">
      <w:r>
        <w:t xml:space="preserve">KLASA:400-02/24-01/02 </w:t>
      </w:r>
    </w:p>
    <w:p w14:paraId="104C7D73">
      <w:r>
        <w:t xml:space="preserve">URBROJ:2196-28-2-01-24-01 </w:t>
      </w:r>
    </w:p>
    <w:p w14:paraId="4F6599E4">
      <w:pPr>
        <w:jc w:val="right"/>
      </w:pPr>
      <w:r>
        <w:t>Ravnateljica</w:t>
      </w:r>
    </w:p>
    <w:p w14:paraId="297878C8">
      <w:pPr>
        <w:jc w:val="right"/>
      </w:pPr>
      <w:r>
        <w:t>Nada Grgić</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13"/>
    <w:rsid w:val="00043067"/>
    <w:rsid w:val="000560A6"/>
    <w:rsid w:val="000C08A0"/>
    <w:rsid w:val="00147AC1"/>
    <w:rsid w:val="00164B93"/>
    <w:rsid w:val="001D16D8"/>
    <w:rsid w:val="001F189C"/>
    <w:rsid w:val="00267B84"/>
    <w:rsid w:val="00267E71"/>
    <w:rsid w:val="002B69AF"/>
    <w:rsid w:val="00315217"/>
    <w:rsid w:val="00325CD4"/>
    <w:rsid w:val="00376ACF"/>
    <w:rsid w:val="003F5B84"/>
    <w:rsid w:val="00442421"/>
    <w:rsid w:val="00463050"/>
    <w:rsid w:val="00493764"/>
    <w:rsid w:val="004A2296"/>
    <w:rsid w:val="005764C1"/>
    <w:rsid w:val="005C35A7"/>
    <w:rsid w:val="005D5069"/>
    <w:rsid w:val="006D481B"/>
    <w:rsid w:val="00745FAE"/>
    <w:rsid w:val="007A54A5"/>
    <w:rsid w:val="00817D13"/>
    <w:rsid w:val="00892E4A"/>
    <w:rsid w:val="00902DA9"/>
    <w:rsid w:val="009D54B5"/>
    <w:rsid w:val="00A5255D"/>
    <w:rsid w:val="00A63180"/>
    <w:rsid w:val="00A67081"/>
    <w:rsid w:val="00B508A2"/>
    <w:rsid w:val="00B65564"/>
    <w:rsid w:val="00B67FB8"/>
    <w:rsid w:val="00BE0E1E"/>
    <w:rsid w:val="00C30FEF"/>
    <w:rsid w:val="00CB0BA7"/>
    <w:rsid w:val="00CB4B2C"/>
    <w:rsid w:val="00D31FFC"/>
    <w:rsid w:val="00D81145"/>
    <w:rsid w:val="00DD28C5"/>
    <w:rsid w:val="00DF0EB4"/>
    <w:rsid w:val="00DF4A8D"/>
    <w:rsid w:val="00E96D6B"/>
    <w:rsid w:val="00F23766"/>
    <w:rsid w:val="00F65510"/>
    <w:rsid w:val="00FA47D7"/>
    <w:rsid w:val="205A32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Naslov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Naslov 3 Char"/>
    <w:basedOn w:val="11"/>
    <w:link w:val="4"/>
    <w:semiHidden/>
    <w:uiPriority w:val="9"/>
    <w:rPr>
      <w:rFonts w:eastAsiaTheme="majorEastAsia" w:cstheme="majorBidi"/>
      <w:color w:val="2F5597" w:themeColor="accent1" w:themeShade="BF"/>
      <w:sz w:val="28"/>
      <w:szCs w:val="28"/>
    </w:rPr>
  </w:style>
  <w:style w:type="character" w:customStyle="1" w:styleId="19">
    <w:name w:val="Naslov 4 Char"/>
    <w:basedOn w:val="11"/>
    <w:link w:val="5"/>
    <w:semiHidden/>
    <w:uiPriority w:val="9"/>
    <w:rPr>
      <w:rFonts w:eastAsiaTheme="majorEastAsia" w:cstheme="majorBidi"/>
      <w:i/>
      <w:iCs/>
      <w:color w:val="2F5597" w:themeColor="accent1" w:themeShade="BF"/>
    </w:rPr>
  </w:style>
  <w:style w:type="character" w:customStyle="1" w:styleId="20">
    <w:name w:val="Naslov 5 Char"/>
    <w:basedOn w:val="11"/>
    <w:link w:val="6"/>
    <w:semiHidden/>
    <w:uiPriority w:val="9"/>
    <w:rPr>
      <w:rFonts w:eastAsiaTheme="majorEastAsia" w:cstheme="majorBidi"/>
      <w:color w:val="2F5597" w:themeColor="accent1" w:themeShade="BF"/>
    </w:rPr>
  </w:style>
  <w:style w:type="character" w:customStyle="1" w:styleId="21">
    <w:name w:val="Naslov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Char"/>
    <w:basedOn w:val="11"/>
    <w:link w:val="15"/>
    <w:uiPriority w:val="10"/>
    <w:rPr>
      <w:rFonts w:asciiTheme="majorHAnsi" w:hAnsiTheme="majorHAnsi" w:eastAsiaTheme="majorEastAsia" w:cstheme="majorBidi"/>
      <w:spacing w:val="-10"/>
      <w:kern w:val="28"/>
      <w:sz w:val="56"/>
      <w:szCs w:val="56"/>
    </w:rPr>
  </w:style>
  <w:style w:type="character" w:customStyle="1" w:styleId="26">
    <w:name w:val="Podnaslov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Naglašen citat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2094</Words>
  <Characters>11938</Characters>
  <Lines>99</Lines>
  <Paragraphs>28</Paragraphs>
  <TotalTime>56</TotalTime>
  <ScaleCrop>false</ScaleCrop>
  <LinksUpToDate>false</LinksUpToDate>
  <CharactersWithSpaces>14004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2025-03-11T11:11:00Z</dcterms:created>
  <dc:creator>Palcic Tovarnik</dc:creator>
  <cp:lastModifiedBy>DV Palčić Tovarnik</cp:lastModifiedBy>
  <dcterms:modified xsi:type="dcterms:W3CDTF">2025-03-11T12:46:53Z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14330D3ED66441FEB67028E49C37A94E_12</vt:lpwstr>
  </property>
</Properties>
</file>