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AD943">
      <w:r>
        <w:t>DJEČJI VRTIĆ „PALČIĆ, TOVARNIK“</w:t>
      </w:r>
    </w:p>
    <w:p w14:paraId="2EF70778">
      <w:r>
        <w:t>HRVATSKIH DRAGOVOLJACA 5</w:t>
      </w:r>
    </w:p>
    <w:p w14:paraId="205EC7E0">
      <w:r>
        <w:t>32249 TOVARNIK</w:t>
      </w:r>
    </w:p>
    <w:p w14:paraId="12C5C39E">
      <w:r>
        <w:t>KLASA:406-09/2</w:t>
      </w:r>
      <w:r>
        <w:rPr>
          <w:rFonts w:hint="default"/>
          <w:lang w:val="hr-HR"/>
        </w:rPr>
        <w:t>5</w:t>
      </w:r>
      <w:r>
        <w:t>-01/03</w:t>
      </w:r>
    </w:p>
    <w:p w14:paraId="63CBC572">
      <w:r>
        <w:t>URBROJ:2196-28-2-5-2</w:t>
      </w:r>
      <w:r>
        <w:rPr>
          <w:rFonts w:hint="default"/>
          <w:lang w:val="hr-HR"/>
        </w:rPr>
        <w:t>5</w:t>
      </w:r>
      <w:r>
        <w:t>-01</w:t>
      </w:r>
    </w:p>
    <w:p w14:paraId="60F65D17">
      <w:r>
        <w:t xml:space="preserve">Tovarnik, </w:t>
      </w:r>
      <w:r>
        <w:rPr>
          <w:rFonts w:hint="default"/>
          <w:lang w:val="hr-HR"/>
        </w:rPr>
        <w:t>30</w:t>
      </w:r>
      <w:r>
        <w:t>.12.202</w:t>
      </w:r>
      <w:r>
        <w:rPr>
          <w:rFonts w:hint="default"/>
          <w:lang w:val="hr-HR"/>
        </w:rPr>
        <w:t>5</w:t>
      </w:r>
      <w:r>
        <w:t>. god.</w:t>
      </w:r>
    </w:p>
    <w:p w14:paraId="53C51EB2"/>
    <w:p w14:paraId="4B0333FA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Na temelju članka 35. Zakona o predškolskom odgoju i obrazovanju (Narodne novine broj 10/1997, 107/2007 , 94/2013, 98/2019 i 57/22), članka 42. Statuta Dječjeg vrtića Palčić Tovarnik (KLASA: 012-03/20-01/1, URBROJ: 2188/12-JT-1-05-20-1) i čl. 12. Pravilnika o provedbi postupaka jednostavne nabave u DV Palčić Tovarnik, Upravno vijeće Dječjeg vrtića Palčić Tovarnik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30.12.2025.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godine na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18</w:t>
      </w:r>
      <w:r>
        <w:rPr>
          <w:rFonts w:ascii="Calibri" w:hAnsi="Calibri" w:eastAsia="Times New Roman" w:cs="Arial"/>
          <w:lang w:eastAsia="hr-HR"/>
          <w14:ligatures w14:val="none"/>
        </w:rPr>
        <w:t>.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 xml:space="preserve"> 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sjednici Upravnog vijeća donijelo je</w:t>
      </w:r>
    </w:p>
    <w:p w14:paraId="46C17A2C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0778D789">
      <w:pPr>
        <w:spacing w:before="100" w:beforeAutospacing="1" w:line="256" w:lineRule="auto"/>
        <w:jc w:val="center"/>
        <w:rPr>
          <w:rFonts w:hint="default" w:ascii="Calibri" w:hAnsi="Calibri" w:eastAsia="Times New Roman" w:cs="Arial"/>
          <w:b/>
          <w:bCs/>
          <w:sz w:val="24"/>
          <w:szCs w:val="24"/>
          <w:lang w:val="en-US" w:eastAsia="hr-HR"/>
          <w14:ligatures w14:val="none"/>
        </w:rPr>
      </w:pPr>
      <w:r>
        <w:rPr>
          <w:rFonts w:ascii="Calibri" w:hAnsi="Calibri" w:eastAsia="Times New Roman" w:cs="Arial"/>
          <w:b/>
          <w:bCs/>
          <w:sz w:val="24"/>
          <w:szCs w:val="24"/>
          <w:lang w:eastAsia="hr-HR"/>
          <w14:ligatures w14:val="none"/>
        </w:rPr>
        <w:t>ODLUK</w:t>
      </w:r>
      <w:r>
        <w:rPr>
          <w:rFonts w:hint="default" w:ascii="Calibri" w:hAnsi="Calibri" w:eastAsia="Times New Roman" w:cs="Arial"/>
          <w:b/>
          <w:bCs/>
          <w:sz w:val="24"/>
          <w:szCs w:val="24"/>
          <w:lang w:val="en-US" w:eastAsia="hr-HR"/>
          <w14:ligatures w14:val="none"/>
        </w:rPr>
        <w:t>A</w:t>
      </w:r>
      <w:bookmarkStart w:id="0" w:name="_GoBack"/>
      <w:bookmarkEnd w:id="0"/>
    </w:p>
    <w:p w14:paraId="41F14550">
      <w:pPr>
        <w:spacing w:before="100" w:beforeAutospacing="1" w:line="256" w:lineRule="auto"/>
        <w:jc w:val="center"/>
        <w:rPr>
          <w:rFonts w:ascii="Calibri" w:hAnsi="Calibri" w:eastAsia="Times New Roman" w:cs="Arial"/>
          <w:b/>
          <w:bCs/>
          <w:sz w:val="24"/>
          <w:szCs w:val="24"/>
          <w:lang w:eastAsia="hr-HR"/>
          <w14:ligatures w14:val="none"/>
        </w:rPr>
      </w:pPr>
      <w:r>
        <w:rPr>
          <w:rFonts w:ascii="Calibri" w:hAnsi="Calibri" w:eastAsia="Times New Roman" w:cs="Arial"/>
          <w:b/>
          <w:bCs/>
          <w:sz w:val="24"/>
          <w:szCs w:val="24"/>
          <w:lang w:eastAsia="hr-HR"/>
          <w14:ligatures w14:val="none"/>
        </w:rPr>
        <w:t>o odabiru najpovoljnije ponude u predmetu jednostavne nabave: priprema i dostava toplog obroka/cateringa za 202</w:t>
      </w:r>
      <w:r>
        <w:rPr>
          <w:rFonts w:hint="default" w:ascii="Calibri" w:hAnsi="Calibri" w:eastAsia="Times New Roman" w:cs="Arial"/>
          <w:b/>
          <w:bCs/>
          <w:sz w:val="24"/>
          <w:szCs w:val="24"/>
          <w:lang w:val="en-US" w:eastAsia="hr-HR"/>
          <w14:ligatures w14:val="none"/>
        </w:rPr>
        <w:t>6</w:t>
      </w:r>
      <w:r>
        <w:rPr>
          <w:rFonts w:ascii="Calibri" w:hAnsi="Calibri" w:eastAsia="Times New Roman" w:cs="Arial"/>
          <w:b/>
          <w:bCs/>
          <w:sz w:val="24"/>
          <w:szCs w:val="24"/>
          <w:lang w:eastAsia="hr-HR"/>
          <w14:ligatures w14:val="none"/>
        </w:rPr>
        <w:t>. godinu</w:t>
      </w:r>
    </w:p>
    <w:p w14:paraId="5FFCDDC9">
      <w:pPr>
        <w:spacing w:before="100" w:beforeAutospacing="1" w:line="256" w:lineRule="auto"/>
        <w:jc w:val="center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I</w:t>
      </w:r>
    </w:p>
    <w:p w14:paraId="02D54C0E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Upravno vijeće na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18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. sjednici, održanoj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30</w:t>
      </w:r>
      <w:r>
        <w:rPr>
          <w:rFonts w:ascii="Calibri" w:hAnsi="Calibri" w:eastAsia="Times New Roman" w:cs="Arial"/>
          <w:lang w:eastAsia="hr-HR"/>
          <w14:ligatures w14:val="none"/>
        </w:rPr>
        <w:t>.12.202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5</w:t>
      </w:r>
      <w:r>
        <w:rPr>
          <w:rFonts w:ascii="Calibri" w:hAnsi="Calibri" w:eastAsia="Times New Roman" w:cs="Arial"/>
          <w:lang w:eastAsia="hr-HR"/>
          <w14:ligatures w14:val="none"/>
        </w:rPr>
        <w:t>. god., pod točkom 1. dnevnog reda razmatralo je prijedlog odluke o odabiru najpovoljnije ponude u predmetu jednostavne nabave: priprema i dostava toplog obroka/cateringa za 202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6</w:t>
      </w:r>
      <w:r>
        <w:rPr>
          <w:rFonts w:ascii="Calibri" w:hAnsi="Calibri" w:eastAsia="Times New Roman" w:cs="Arial"/>
          <w:lang w:eastAsia="hr-HR"/>
          <w14:ligatures w14:val="none"/>
        </w:rPr>
        <w:t>. godinu.</w:t>
      </w:r>
    </w:p>
    <w:p w14:paraId="4BD35501">
      <w:pPr>
        <w:spacing w:before="100" w:beforeAutospacing="1" w:line="256" w:lineRule="auto"/>
        <w:jc w:val="center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II</w:t>
      </w:r>
    </w:p>
    <w:p w14:paraId="0570EFBF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U provedenom postupku jednostavne nabave za pripremu i dostavu toplog obroka, cateringa, odabire se ponuda Ponuditelja </w:t>
      </w:r>
      <w:r>
        <w:rPr>
          <w:rFonts w:ascii="Calibri" w:hAnsi="Calibri" w:eastAsia="Times New Roman" w:cs="Arial"/>
          <w:b/>
          <w:bCs/>
          <w:lang w:eastAsia="hr-HR"/>
          <w14:ligatures w14:val="none"/>
        </w:rPr>
        <w:t>Jako stara kuhinja d.o.o., Matice hrvatske 4, Vinkovci, OIB: 04160473645</w:t>
      </w:r>
    </w:p>
    <w:p w14:paraId="58AA177A">
      <w:pPr>
        <w:spacing w:before="100" w:beforeAutospacing="1" w:line="256" w:lineRule="auto"/>
        <w:jc w:val="center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III</w:t>
      </w:r>
    </w:p>
    <w:p w14:paraId="105379CA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Naručitelj će s odabranim Ponuditeljem sklopiti Ugovor o nabavi.</w:t>
      </w:r>
    </w:p>
    <w:p w14:paraId="6D740562">
      <w:pPr>
        <w:spacing w:before="100" w:beforeAutospacing="1" w:line="256" w:lineRule="auto"/>
        <w:jc w:val="center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IV</w:t>
      </w:r>
    </w:p>
    <w:p w14:paraId="66CD096B">
      <w:pPr>
        <w:spacing w:before="100" w:beforeAutospacing="1" w:line="256" w:lineRule="auto"/>
        <w:jc w:val="left"/>
        <w:rPr>
          <w:rFonts w:hint="default" w:ascii="Calibri" w:hAnsi="Calibri" w:eastAsia="Times New Roman" w:cs="Arial"/>
          <w:lang w:val="en-US" w:eastAsia="hr-HR"/>
          <w14:ligatures w14:val="none"/>
        </w:rPr>
      </w:pPr>
      <w:r>
        <w:rPr>
          <w:rFonts w:hint="default" w:ascii="Calibri" w:hAnsi="Calibri" w:eastAsia="Times New Roman" w:cs="Arial"/>
          <w:lang w:val="en-US" w:eastAsia="hr-HR"/>
          <w14:ligatures w14:val="none"/>
        </w:rPr>
        <w:t xml:space="preserve">Ova Odluka će se objaviti na web stranici DV Palčić, Tovarnik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fldChar w:fldCharType="begin"/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instrText xml:space="preserve"> HYPERLINK "http://www.palcictovarnik.hr" </w:instrTex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fldChar w:fldCharType="separate"/>
      </w:r>
      <w:r>
        <w:rPr>
          <w:rStyle w:val="13"/>
          <w:rFonts w:hint="default" w:ascii="Calibri" w:hAnsi="Calibri" w:eastAsia="Times New Roman" w:cs="Arial"/>
          <w:lang w:val="en-US" w:eastAsia="hr-HR"/>
          <w14:ligatures w14:val="none"/>
        </w:rPr>
        <w:t>www.palcictovarnik.hr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fldChar w:fldCharType="end"/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 xml:space="preserve"> čime se smatra da su svi ponuditelji obaviješteni o rezultatima postupka  jednostavne nabave.</w:t>
      </w:r>
    </w:p>
    <w:p w14:paraId="67A3AAEA">
      <w:pPr>
        <w:spacing w:before="100" w:beforeAutospacing="1" w:line="256" w:lineRule="auto"/>
        <w:jc w:val="left"/>
        <w:rPr>
          <w:rFonts w:hint="default" w:ascii="Calibri" w:hAnsi="Calibri" w:eastAsia="Times New Roman" w:cs="Arial"/>
          <w:lang w:val="en-US" w:eastAsia="hr-HR"/>
          <w14:ligatures w14:val="none"/>
        </w:rPr>
      </w:pPr>
    </w:p>
    <w:p w14:paraId="2DA5B0A3">
      <w:pPr>
        <w:spacing w:before="100" w:beforeAutospacing="1" w:line="256" w:lineRule="auto"/>
        <w:jc w:val="center"/>
        <w:rPr>
          <w:rFonts w:hint="default" w:ascii="Calibri" w:hAnsi="Calibri" w:eastAsia="Times New Roman" w:cs="Arial"/>
          <w:b w:val="0"/>
          <w:bCs w:val="0"/>
          <w:lang w:val="en-US" w:eastAsia="hr-HR"/>
          <w14:ligatures w14:val="none"/>
        </w:rPr>
      </w:pPr>
      <w:r>
        <w:rPr>
          <w:rFonts w:hint="default" w:ascii="Calibri" w:hAnsi="Calibri" w:eastAsia="Times New Roman" w:cs="Arial"/>
          <w:b w:val="0"/>
          <w:bCs w:val="0"/>
          <w:lang w:val="en-US" w:eastAsia="hr-HR"/>
          <w14:ligatures w14:val="none"/>
        </w:rPr>
        <w:t>V</w:t>
      </w:r>
    </w:p>
    <w:p w14:paraId="16FF79FD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Ova Odluka stupa na snagu danom donošenja.</w:t>
      </w:r>
    </w:p>
    <w:p w14:paraId="61F79C46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73332090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OBRAZLOŽENJE:</w:t>
      </w:r>
    </w:p>
    <w:p w14:paraId="0B752D2D">
      <w:pPr>
        <w:numPr>
          <w:ilvl w:val="0"/>
          <w:numId w:val="1"/>
        </w:numPr>
        <w:spacing w:before="100" w:beforeAutospacing="1" w:line="256" w:lineRule="auto"/>
        <w:contextualSpacing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Naručitelj, DV Palčić Tovarnik temeljem čl. 6. Pravilnika o provedbi postupaka jednostavne nabave u DV Palčić Tovarnik, proveo je postupak jednostavne nabave s namjerom sklapanja ugovora o nabavi za pripremu i dostavu toplog obroka, cateringa pod evidencijskim brojem nabave 01/2025.</w:t>
      </w:r>
    </w:p>
    <w:p w14:paraId="2952CA60">
      <w:pPr>
        <w:numPr>
          <w:ilvl w:val="0"/>
          <w:numId w:val="1"/>
        </w:numPr>
        <w:spacing w:before="100" w:beforeAutospacing="1" w:line="256" w:lineRule="auto"/>
        <w:contextualSpacing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Do roka za dostavu ponuda pristigle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je jedna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valjan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a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ponud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a,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ponuditelja Jako stara kuhinja d.o.o. iz Vinkovaca. Nakon otvaranja, pregleda i ocjene ponud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e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utvrđeno je da ponuda ponuditelja Jako stara kuhinja d.o.o. temeljem kriterija za odabir – najniža cijena ili ekonomski najpovoljnija ponuda jest povoljnija te je odlučeno kao u točki II. ove Odluke.</w:t>
      </w:r>
    </w:p>
    <w:p w14:paraId="682A9319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445A1833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Prilozi: </w:t>
      </w:r>
    </w:p>
    <w:p w14:paraId="4F5F2881">
      <w:pPr>
        <w:numPr>
          <w:ilvl w:val="0"/>
          <w:numId w:val="2"/>
        </w:numPr>
        <w:spacing w:before="100" w:beforeAutospacing="1" w:line="256" w:lineRule="auto"/>
        <w:contextualSpacing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Zapisnik o otvaranju, postupku pregleda i ocjeni ponuda.</w:t>
      </w:r>
    </w:p>
    <w:p w14:paraId="10A1BDC0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0578226B">
      <w:pPr>
        <w:spacing w:before="100" w:beforeAutospacing="1" w:line="256" w:lineRule="auto"/>
        <w:rPr>
          <w:rFonts w:ascii="Calibri" w:hAnsi="Calibri" w:eastAsia="Times New Roman" w:cs="Arial"/>
          <w:lang w:eastAsia="hr-HR"/>
          <w14:ligatures w14:val="none"/>
        </w:rPr>
      </w:pPr>
    </w:p>
    <w:p w14:paraId="446BF856">
      <w:pPr>
        <w:spacing w:before="100" w:beforeAutospacing="1" w:line="256" w:lineRule="auto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7D22DAD9">
      <w:pPr>
        <w:spacing w:before="100" w:beforeAutospacing="1" w:line="256" w:lineRule="auto"/>
        <w:jc w:val="right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3D32AE58">
      <w:pPr>
        <w:spacing w:before="100" w:beforeAutospacing="1" w:line="256" w:lineRule="auto"/>
        <w:jc w:val="right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Predsjednik Upravnog vijeća</w:t>
      </w:r>
    </w:p>
    <w:p w14:paraId="5C573504">
      <w:pPr>
        <w:spacing w:before="100" w:beforeAutospacing="1" w:line="256" w:lineRule="auto"/>
        <w:jc w:val="right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Ivan Džunja, mag.iur.</w:t>
      </w:r>
    </w:p>
    <w:p w14:paraId="1899CC7F">
      <w:pPr>
        <w:spacing w:before="100" w:beforeAutospacing="1" w:line="256" w:lineRule="auto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5F46E925">
      <w:pPr>
        <w:spacing w:before="100" w:beforeAutospacing="1" w:line="256" w:lineRule="auto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3E6B1572">
      <w:pPr>
        <w:spacing w:before="100" w:beforeAutospacing="1" w:line="256" w:lineRule="auto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2B0EF3C4"/>
    <w:sectPr>
      <w:pgSz w:w="12240" w:h="15840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97177E"/>
    <w:multiLevelType w:val="multilevel"/>
    <w:tmpl w:val="3D9717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abstractNum w:abstractNumId="1">
    <w:nsid w:val="6FD17A68"/>
    <w:multiLevelType w:val="multilevel"/>
    <w:tmpl w:val="6FD17A6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75"/>
    <w:rsid w:val="000B0975"/>
    <w:rsid w:val="001F189C"/>
    <w:rsid w:val="00493764"/>
    <w:rsid w:val="00AF6550"/>
    <w:rsid w:val="00E971E8"/>
    <w:rsid w:val="1B2438EA"/>
    <w:rsid w:val="32F54AC8"/>
    <w:rsid w:val="3B55414C"/>
    <w:rsid w:val="578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slov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Naglašen citat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1874</Characters>
  <Lines>15</Lines>
  <Paragraphs>4</Paragraphs>
  <TotalTime>35</TotalTime>
  <ScaleCrop>false</ScaleCrop>
  <LinksUpToDate>false</LinksUpToDate>
  <CharactersWithSpaces>2198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2024-12-13T07:44:00Z</dcterms:created>
  <dc:creator>Palcic Tovarnik</dc:creator>
  <cp:lastModifiedBy>DV Palčić Tovarnik</cp:lastModifiedBy>
  <cp:lastPrinted>2024-12-16T07:38:00Z</cp:lastPrinted>
  <dcterms:modified xsi:type="dcterms:W3CDTF">2026-04-30T09:17:13Z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10D3DF72BAF24BD5A74849206096B7D4_13</vt:lpwstr>
  </property>
</Properties>
</file>